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</w:t>
            </w:r>
            <w:br/>
            <w:r>
              <w:rPr/>
              <w:t xml:space="preserve"> </w:t>
            </w:r>
            <w:br/>
            <w:r>
              <w:rPr/>
              <w:t xml:space="preserve"> 08 ноября переменная облачность, без осадков. Ветер западный 5-10 м/с. Температура воздуха ночью -1…-6°С, днем -2…+3°С.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(0,2-0,3) прогнозируются техногенные ЧС, обусловленные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обусловленной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сельскохозяйственного, административного, социального и культурно-досугового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Ковылкинском,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административного, социального и культурно-досугового одинакова для всех районов республики, но наибольшему риску подвержены 4 района республики (Краснослободский, Ромодановский, Большеберезниковский, Ковылкинский)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 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электрооборудования, печное отопление.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Ковылкинском, Старошайговском, Кочкуровском, Лямбирском, Зубово-Полянском, Дубенском, Ичалковском, Ромодановском, Рузаевском, Атюрьевском, Краснослободском, Темниковском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обрывы линий электропередач (порывы 15-20 м/с);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2025-05-13T04:04:22+03:00</dcterms:created>
  <dcterms:modified xsi:type="dcterms:W3CDTF">2025-05-13T04:04:22+03:00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