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реализации задач и функций по направлению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реализации задач и функций по направлению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Рекомендации по использованию проектов модельных правовых актов для органов государственной власти субъектов Российской Федерации и органов местного самоуправления, регулирующих отношения в области защиты населения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 по организации и ведению гражданской обороны в субъекте Российской Федерации и муниципальном образовании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проведению смотра-конкурса на лучшее содержание защитных сооружений гражданской обороны в региональных центрах и Главных управлениях МЧС России по г. Москве, г. Севастополю, Республике Крым, субъектах Российской Федерации и муниципальных образованиях.</w:t>
            </w:r>
            <w:br/>
            <w:r>
              <w:rPr/>
              <w:t xml:space="preserve"> </w:t>
            </w:r>
            <w:br/>
            <w:r>
              <w:rPr/>
              <w:t xml:space="preserve"> План МЧС России по развитию гражданской обороны Российской Федерации на период до 2020 года</w:t>
            </w:r>
            <w:br/>
            <w:r>
              <w:rPr/>
              <w:t xml:space="preserve"> </w:t>
            </w:r>
            <w:br/>
            <w:r>
              <w:rPr/>
              <w:t xml:space="preserve"> План мероприятий по реализации в МЧС России поручений Президента Российской Федерации по вопросам развития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Справочник руководителя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сбору и обмену информацией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испонительной власти субъектов Российской Федерации, органами местного самоуправления и организациями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2025-05-13T05:56:39+03:00</dcterms:created>
  <dcterms:modified xsi:type="dcterms:W3CDTF">2025-05-13T05:56:39+03:00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